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43"/>
        <w:pBdr/>
        <w:spacing/>
        <w:ind w:hanging="434" w:left="75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 xml:space="preserve">南京航空航天大学金城学院</w:t>
      </w:r>
      <w:r>
        <w:rPr>
          <w:rFonts w:hint="eastAsia" w:ascii="仿宋_GB2312" w:hAnsi="宋体" w:eastAsia="仿宋_GB2312"/>
          <w:b/>
          <w:sz w:val="36"/>
          <w:szCs w:val="36"/>
        </w:rPr>
      </w:r>
      <w:r>
        <w:rPr>
          <w:rFonts w:hint="eastAsia" w:ascii="仿宋_GB2312" w:hAnsi="宋体" w:eastAsia="仿宋_GB2312"/>
          <w:b/>
          <w:sz w:val="36"/>
          <w:szCs w:val="36"/>
        </w:rPr>
      </w:r>
    </w:p>
    <w:p>
      <w:pPr>
        <w:pStyle w:val="643"/>
        <w:pBdr/>
        <w:spacing/>
        <w:ind w:hanging="434" w:left="75"/>
        <w:jc w:val="center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b/>
          <w:sz w:val="36"/>
          <w:szCs w:val="36"/>
        </w:rPr>
        <w:t xml:space="preserve">本科优秀毕业设计（论文）评选表</w:t>
      </w: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 xml:space="preserve">（试行）</w:t>
      </w:r>
      <w:r>
        <w:rPr>
          <w:rFonts w:hint="eastAsia" w:ascii="仿宋_GB2312" w:hAnsi="宋体" w:eastAsia="仿宋_GB2312"/>
          <w:b/>
          <w:sz w:val="36"/>
          <w:szCs w:val="36"/>
          <w:lang w:eastAsia="zh-CN"/>
        </w:rPr>
      </w:r>
      <w:r>
        <w:rPr>
          <w:rFonts w:hint="eastAsia" w:ascii="仿宋_GB2312" w:hAnsi="宋体" w:eastAsia="仿宋_GB2312"/>
          <w:b/>
          <w:sz w:val="36"/>
          <w:szCs w:val="36"/>
          <w:lang w:eastAsia="zh-CN"/>
        </w:rPr>
      </w:r>
    </w:p>
    <w:p>
      <w:pPr>
        <w:pStyle w:val="643"/>
        <w:pBdr/>
        <w:spacing/>
        <w:ind w:hanging="56" w:left="54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题目：</w:t>
      </w:r>
      <w:r>
        <w:rPr>
          <w:rFonts w:hint="eastAsia" w:ascii="仿宋_GB2312" w:hAnsi="宋体" w:eastAsia="仿宋_GB2312"/>
          <w:sz w:val="28"/>
          <w:szCs w:val="28"/>
        </w:rPr>
      </w:r>
      <w:r>
        <w:rPr>
          <w:rFonts w:hint="eastAsia" w:ascii="仿宋_GB2312" w:hAnsi="宋体" w:eastAsia="仿宋_GB2312"/>
          <w:sz w:val="28"/>
          <w:szCs w:val="28"/>
        </w:rPr>
      </w:r>
    </w:p>
    <w:p>
      <w:pPr>
        <w:pStyle w:val="643"/>
        <w:pBdr/>
        <w:spacing/>
        <w:ind w:hanging="56" w:left="54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学生姓名：              学号：              指导教师：</w:t>
      </w:r>
      <w:r>
        <w:rPr>
          <w:rFonts w:hint="eastAsia" w:ascii="仿宋_GB2312" w:hAnsi="宋体" w:eastAsia="仿宋_GB2312"/>
          <w:sz w:val="28"/>
          <w:szCs w:val="28"/>
        </w:rPr>
      </w:r>
      <w:r>
        <w:rPr>
          <w:rFonts w:hint="eastAsia" w:ascii="仿宋_GB2312" w:hAnsi="宋体" w:eastAsia="仿宋_GB2312"/>
          <w:sz w:val="28"/>
          <w:szCs w:val="28"/>
        </w:rPr>
      </w:r>
    </w:p>
    <w:tbl>
      <w:tblPr>
        <w:tblW w:w="0" w:type="auto"/>
        <w:jc w:val="center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" w:type="dxa"/>
          <w:top w:w="0" w:type="dxa"/>
          <w:right w:w="6" w:type="dxa"/>
          <w:bottom w:w="0" w:type="dxa"/>
        </w:tblCellMar>
        <w:tblLook w:val="04A0" w:firstRow="1" w:lastRow="0" w:firstColumn="1" w:lastColumn="0" w:noHBand="0" w:noVBand="1"/>
      </w:tblPr>
      <w:tblGrid>
        <w:gridCol w:w="1402"/>
        <w:gridCol w:w="540"/>
        <w:gridCol w:w="1620"/>
        <w:gridCol w:w="4817"/>
        <w:gridCol w:w="853"/>
      </w:tblGrid>
      <w:tr>
        <w:trPr>
          <w:cantSplit/>
          <w:trHeight w:val="481"/>
        </w:trPr>
        <w:tc>
          <w:tcPr>
            <w:tcBorders/>
            <w:tcW w:w="1402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评价项目</w:t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  <w:tc>
          <w:tcPr>
            <w:gridSpan w:val="2"/>
            <w:tcBorders/>
            <w:tcW w:w="216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评价要素</w:t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  <w:tc>
          <w:tcPr>
            <w:tcBorders/>
            <w:tcW w:w="4817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评价内涵（A级）</w:t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 w:firstLine="1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评分</w:t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</w:tr>
      <w:tr>
        <w:trPr>
          <w:cantSplit/>
          <w:trHeight w:val="842"/>
        </w:trPr>
        <w:tc>
          <w:tcPr>
            <w:tcBorders/>
            <w:tcW w:w="1402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 xml:space="preserve">选题质量</w:t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</w:p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 xml:space="preserve">（15分）</w:t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</w:p>
        </w:tc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01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选题方向和范围（6分）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4817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 w:line="400" w:lineRule="exact"/>
              <w:ind/>
              <w:jc w:val="left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符合本专业的培养目标，能够达到科学研究和实践能力培养和锻炼的目的。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</w:tr>
      <w:tr>
        <w:trPr>
          <w:cantSplit/>
          <w:trHeight w:val="767"/>
        </w:trPr>
        <w:tc>
          <w:tcPr>
            <w:tcBorders/>
            <w:tcW w:w="1402" w:type="dxa"/>
            <w:vAlign w:val="center"/>
            <w:vMerge w:val="continue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left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</w:p>
        </w:tc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02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难易度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（4分）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4817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满足专业教学计划中对素质、能力和知识结构的要求，难易适中，工作量适当。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</w:tr>
      <w:tr>
        <w:trPr>
          <w:cantSplit/>
          <w:trHeight w:val="675"/>
        </w:trPr>
        <w:tc>
          <w:tcPr>
            <w:tcBorders/>
            <w:tcW w:w="1402" w:type="dxa"/>
            <w:vAlign w:val="center"/>
            <w:vMerge w:val="continue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left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</w:p>
        </w:tc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03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理论意义和实际应用价值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（5分）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4817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选题符合本学科专业的发展，符合科技、经济和社会发展的需要，能够理论联系实际，具有一定的科技、应用的参考价值。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</w:tr>
      <w:tr>
        <w:trPr>
          <w:cantSplit/>
          <w:trHeight w:val="1214"/>
        </w:trPr>
        <w:tc>
          <w:tcPr>
            <w:tcBorders/>
            <w:tcW w:w="1402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 xml:space="preserve">能力水平</w:t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</w:p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 xml:space="preserve">（40分）</w:t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</w:p>
        </w:tc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04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查阅和应用文献资料能力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（13分）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4817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能独立检索中外文献资料，对资料进行分析、综合、归纳等整理，并能对所研究问题的现状进行综述，提出存在的问题或进一步发展的方向。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</w:tr>
      <w:tr>
        <w:trPr>
          <w:cantSplit/>
          <w:trHeight w:val="450"/>
        </w:trPr>
        <w:tc>
          <w:tcPr>
            <w:tcBorders/>
            <w:tcW w:w="1402" w:type="dxa"/>
            <w:vAlign w:val="center"/>
            <w:vMerge w:val="continue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left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</w:p>
        </w:tc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05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综合运用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知识能力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（11分）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4817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能够综合应用所学知识，对课题所研究问题进行分析、论述，研究目标明确，内容具体，且具有一定的深度。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</w:tr>
      <w:tr>
        <w:trPr>
          <w:cantSplit/>
          <w:trHeight w:val="923"/>
        </w:trPr>
        <w:tc>
          <w:tcPr>
            <w:tcBorders/>
            <w:tcW w:w="1402" w:type="dxa"/>
            <w:vAlign w:val="center"/>
            <w:vMerge w:val="continue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left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</w:p>
        </w:tc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06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研究方法与手段（7分）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4817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熟练运用本专业的方法、手段和工具开展课题的设计和实施工作。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</w:tr>
      <w:tr>
        <w:trPr>
          <w:cantSplit/>
          <w:trHeight w:val="915"/>
        </w:trPr>
        <w:tc>
          <w:tcPr>
            <w:tcBorders/>
            <w:tcW w:w="1402" w:type="dxa"/>
            <w:vAlign w:val="center"/>
            <w:vMerge w:val="continue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left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</w:p>
        </w:tc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07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实验技能和实践能力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（9分）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4817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论文或设计反映出已掌握了较强的专业技能和研究设计方法，实践能力较强。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</w:tr>
      <w:tr>
        <w:trPr>
          <w:cantSplit/>
          <w:trHeight w:val="744"/>
        </w:trPr>
        <w:tc>
          <w:tcPr>
            <w:tcBorders/>
            <w:tcW w:w="1402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 xml:space="preserve">撰写和规范</w:t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</w:p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 xml:space="preserve">（30分）</w:t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</w:p>
        </w:tc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08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内容与写作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（7分）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4817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能够完整地反映实际完成的工作，语言通顺，概念清楚，内容正确，数据可靠，结果可信。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</w:tr>
      <w:tr>
        <w:trPr>
          <w:cantSplit/>
          <w:trHeight w:val="738"/>
        </w:trPr>
        <w:tc>
          <w:tcPr>
            <w:tcBorders/>
            <w:tcW w:w="1402" w:type="dxa"/>
            <w:vAlign w:val="center"/>
            <w:vMerge w:val="continue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left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</w:p>
        </w:tc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09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结构与水平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（11分）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4817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结构严谨，立论正确，论据充分，论证严密，分析深入，结论正确。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</w:tr>
      <w:tr>
        <w:trPr>
          <w:cantSplit/>
          <w:trHeight w:val="961"/>
        </w:trPr>
        <w:tc>
          <w:tcPr>
            <w:tcBorders/>
            <w:tcW w:w="1402" w:type="dxa"/>
            <w:vAlign w:val="center"/>
            <w:vMerge w:val="continue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left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</w:p>
        </w:tc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10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要求与规范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化程度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（12分）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4817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符合本院的毕设工作的规范要求，论文中的术语、格式、图表、数据、公式、引用、标注及参考文献均符合规范。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</w:tr>
      <w:tr>
        <w:trPr>
          <w:cantSplit/>
          <w:trHeight w:val="1065"/>
        </w:trPr>
        <w:tc>
          <w:tcPr>
            <w:tcBorders/>
            <w:tcW w:w="1402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 xml:space="preserve">创新与成果（15分）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11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创新意识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（7分）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4817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能够在前人工作的基础上，进行科学的分析与综合，提出新问题，探索解决问题的方法、手段有一定的特色或新意，结论有新见解。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</w:tr>
      <w:tr>
        <w:trPr>
          <w:cantSplit/>
          <w:trHeight w:val="1157"/>
        </w:trPr>
        <w:tc>
          <w:tcPr>
            <w:tcBorders/>
            <w:tcW w:w="1402" w:type="dxa"/>
            <w:vAlign w:val="center"/>
            <w:vMerge w:val="continue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left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12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成果与成效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  <w:p>
            <w:pPr>
              <w:pStyle w:val="643"/>
              <w:pBdr/>
              <w:spacing w:line="400" w:lineRule="exact"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（8分）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4817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 w:line="400" w:lineRule="exact"/>
              <w:ind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论文有一定的学术价值；有实物作品、实际运行的系统或具有高复杂度的原型系统；已经得到应用或具有应用前景的成果。</w:t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</w:tr>
      <w:tr>
        <w:trPr>
          <w:cantSplit/>
          <w:trHeight w:val="458"/>
        </w:trPr>
        <w:tc>
          <w:tcPr>
            <w:gridSpan w:val="2"/>
            <w:tcBorders/>
            <w:tcW w:w="1942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 xml:space="preserve">合计</w:t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</w:p>
        </w:tc>
        <w:tc>
          <w:tcPr>
            <w:gridSpan w:val="3"/>
            <w:tcBorders/>
            <w:tcW w:w="7290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left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</w:tr>
      <w:tr>
        <w:trPr>
          <w:cantSplit/>
          <w:trHeight w:val="457"/>
        </w:trPr>
        <w:tc>
          <w:tcPr>
            <w:gridSpan w:val="2"/>
            <w:tcBorders/>
            <w:tcW w:w="1942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  <w:lang w:eastAsia="zh-CN"/>
              </w:rPr>
              <w:t xml:space="preserve">评分</w:t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  <w:t xml:space="preserve">等级</w:t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</w:r>
          </w:p>
        </w:tc>
        <w:tc>
          <w:tcPr>
            <w:gridSpan w:val="3"/>
            <w:tcBorders/>
            <w:tcW w:w="7290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  <w:lang w:eastAsia="zh-CN"/>
              </w:rPr>
              <w:t xml:space="preserve">优秀</w:t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  <w:t xml:space="preserve">（  ） </w:t>
            </w:r>
            <w:r>
              <w:rPr>
                <w:rFonts w:hint="eastAsia" w:ascii="仿宋_GB2312" w:eastAsia="仿宋_GB2312"/>
                <w:b/>
                <w:sz w:val="26"/>
                <w:szCs w:val="26"/>
                <w:lang w:eastAsia="zh-CN"/>
              </w:rPr>
              <w:t xml:space="preserve">良好</w:t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  <w:t xml:space="preserve">（  ） </w:t>
            </w:r>
            <w:r>
              <w:rPr>
                <w:rFonts w:hint="eastAsia" w:ascii="仿宋_GB2312" w:eastAsia="仿宋_GB2312"/>
                <w:b/>
                <w:sz w:val="26"/>
                <w:szCs w:val="26"/>
                <w:lang w:eastAsia="zh-CN"/>
              </w:rPr>
              <w:t xml:space="preserve">中等</w:t>
            </w:r>
            <w:r>
              <w:rPr>
                <w:rFonts w:hint="eastAsia" w:ascii="仿宋_GB2312" w:eastAsia="仿宋_GB2312"/>
                <w:b/>
                <w:sz w:val="26"/>
                <w:szCs w:val="26"/>
              </w:rPr>
              <w:t xml:space="preserve">（  ）</w:t>
            </w:r>
            <w:r>
              <w:rPr>
                <w:rFonts w:hint="eastAsia" w:ascii="仿宋_GB2312" w:eastAsia="仿宋_GB2312"/>
                <w:b/>
                <w:sz w:val="26"/>
                <w:szCs w:val="26"/>
                <w:lang w:eastAsia="zh-CN"/>
              </w:rPr>
              <w:t xml:space="preserve">及格（）不及格（）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</w:r>
          </w:p>
        </w:tc>
      </w:tr>
      <w:tr>
        <w:trPr>
          <w:cantSplit/>
          <w:trHeight w:val="5907"/>
        </w:trPr>
        <w:tc>
          <w:tcPr>
            <w:gridSpan w:val="2"/>
            <w:tcBorders/>
            <w:tcW w:w="1942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备注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</w:r>
          </w:p>
        </w:tc>
        <w:tc>
          <w:tcPr>
            <w:gridSpan w:val="3"/>
            <w:tcBorders/>
            <w:tcW w:w="7290" w:type="dxa"/>
            <w:vAlign w:val="center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left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</w:r>
            <w:r>
              <w:rPr>
                <w:rFonts w:hint="eastAsia" w:ascii="仿宋_GB2312" w:eastAsia="仿宋_GB2312"/>
                <w:sz w:val="26"/>
                <w:szCs w:val="26"/>
              </w:rPr>
            </w:r>
          </w:p>
        </w:tc>
      </w:tr>
    </w:tbl>
    <w:p>
      <w:pPr>
        <w:pStyle w:val="647"/>
        <w:pBdr/>
        <w:spacing w:after="0" w:afterAutospacing="0" w:before="0" w:beforeAutospacing="0"/>
        <w:ind/>
        <w:rPr>
          <w:rFonts w:hint="eastAsia" w:ascii="仿宋_GB2312" w:eastAsia="仿宋_GB2312"/>
          <w:bCs/>
          <w:sz w:val="21"/>
          <w:szCs w:val="21"/>
        </w:rPr>
      </w:pPr>
      <w:r>
        <w:rPr>
          <w:rFonts w:hint="eastAsia" w:ascii="仿宋_GB2312" w:eastAsia="仿宋_GB2312"/>
          <w:bCs/>
          <w:sz w:val="21"/>
          <w:szCs w:val="21"/>
        </w:rPr>
      </w:r>
      <w:r>
        <w:rPr>
          <w:rFonts w:hint="eastAsia" w:ascii="仿宋_GB2312" w:eastAsia="仿宋_GB2312"/>
          <w:bCs/>
          <w:sz w:val="21"/>
          <w:szCs w:val="21"/>
        </w:rPr>
      </w:r>
    </w:p>
    <w:p>
      <w:pPr>
        <w:pStyle w:val="647"/>
        <w:pBdr/>
        <w:spacing w:after="0" w:afterAutospacing="0" w:before="0" w:beforeAutospacing="0"/>
        <w:ind w:hanging="1077" w:left="1079"/>
        <w:rPr>
          <w:rFonts w:hint="eastAsia" w:ascii="仿宋_GB2312" w:eastAsia="仿宋_GB2312"/>
        </w:rPr>
      </w:pPr>
      <w:r>
        <w:rPr>
          <w:rFonts w:hint="eastAsia" w:ascii="仿宋_GB2312" w:eastAsia="仿宋_GB2312"/>
          <w:bCs/>
        </w:rPr>
        <w:t xml:space="preserve">说明： 1.</w:t>
      </w:r>
      <w:r>
        <w:rPr>
          <w:rFonts w:hint="eastAsia" w:ascii="仿宋_GB2312" w:eastAsia="仿宋_GB2312"/>
        </w:rPr>
        <w:t xml:space="preserve"> 请在相应推荐等级的括号内打勾。</w:t>
      </w:r>
      <w:r>
        <w:rPr>
          <w:rFonts w:hint="eastAsia" w:ascii="仿宋_GB2312" w:eastAsia="仿宋_GB2312"/>
        </w:rPr>
      </w:r>
      <w:r>
        <w:rPr>
          <w:rFonts w:hint="eastAsia" w:ascii="仿宋_GB2312" w:eastAsia="仿宋_GB2312"/>
        </w:rPr>
      </w:r>
    </w:p>
    <w:p>
      <w:pPr>
        <w:pStyle w:val="647"/>
        <w:pBdr/>
        <w:spacing w:after="0" w:afterAutospacing="0" w:before="0" w:beforeAutospacing="0"/>
        <w:ind w:hanging="1317" w:left="1176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2.</w:t>
      </w:r>
      <w:r>
        <w:rPr>
          <w:rFonts w:hint="eastAsia" w:ascii="仿宋_GB2312" w:eastAsia="仿宋_GB2312"/>
          <w:bCs/>
        </w:rPr>
        <w:t xml:space="preserve"> 对于</w:t>
      </w:r>
      <w:r>
        <w:rPr>
          <w:rFonts w:hint="eastAsia" w:ascii="仿宋_GB2312" w:eastAsia="仿宋_GB2312"/>
          <w:bCs/>
          <w:lang w:eastAsia="zh-CN"/>
        </w:rPr>
        <w:t xml:space="preserve">评分等级</w:t>
      </w:r>
      <w:r>
        <w:rPr>
          <w:rFonts w:hint="eastAsia" w:ascii="仿宋_GB2312" w:eastAsia="仿宋_GB2312"/>
          <w:bCs/>
        </w:rPr>
        <w:t xml:space="preserve">为</w:t>
      </w:r>
      <w:r>
        <w:rPr>
          <w:rFonts w:hint="eastAsia" w:ascii="仿宋_GB2312" w:eastAsia="仿宋_GB2312"/>
          <w:bCs/>
          <w:lang w:eastAsia="zh-CN"/>
        </w:rPr>
        <w:t xml:space="preserve">优秀</w:t>
      </w:r>
      <w:r>
        <w:rPr>
          <w:rFonts w:hint="eastAsia" w:ascii="仿宋_GB2312" w:eastAsia="仿宋_GB2312"/>
          <w:bCs/>
        </w:rPr>
        <w:t xml:space="preserve">或</w:t>
      </w:r>
      <w:r>
        <w:rPr>
          <w:rFonts w:hint="eastAsia" w:ascii="仿宋_GB2312" w:eastAsia="仿宋_GB2312"/>
          <w:bCs/>
          <w:lang w:eastAsia="zh-CN"/>
        </w:rPr>
        <w:t xml:space="preserve">不及格</w:t>
      </w:r>
      <w:r>
        <w:rPr>
          <w:rFonts w:hint="eastAsia" w:ascii="仿宋_GB2312" w:eastAsia="仿宋_GB2312"/>
          <w:bCs/>
        </w:rPr>
        <w:t xml:space="preserve">的毕业设计（论文），务必请结合该标准的参考点在备注栏内给出较</w:t>
      </w:r>
      <w:r>
        <w:rPr>
          <w:rFonts w:hint="eastAsia" w:ascii="仿宋_GB2312" w:eastAsia="仿宋_GB2312"/>
        </w:rPr>
        <w:t xml:space="preserve">为详细的说明。</w:t>
      </w:r>
      <w:r>
        <w:rPr>
          <w:rFonts w:hint="eastAsia" w:ascii="仿宋_GB2312" w:eastAsia="仿宋_GB2312"/>
        </w:rPr>
      </w:r>
      <w:r>
        <w:rPr>
          <w:rFonts w:hint="eastAsia" w:ascii="仿宋_GB2312" w:eastAsia="仿宋_GB2312"/>
        </w:rPr>
      </w:r>
    </w:p>
    <w:p>
      <w:pPr>
        <w:pStyle w:val="647"/>
        <w:pBdr/>
        <w:spacing w:after="0" w:afterAutospacing="0" w:before="0" w:beforeAutospacing="0"/>
        <w:ind w:hanging="1317" w:left="1176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 xml:space="preserve">        3. 优（90分以上）良（80-90分）中（70-79分）及格（60-69分）不及格（59分以下）</w:t>
      </w:r>
      <w:r>
        <w:rPr>
          <w:rFonts w:hint="eastAsia" w:ascii="仿宋_GB2312" w:eastAsia="仿宋_GB2312"/>
          <w:lang w:val="en-US" w:eastAsia="zh-CN"/>
        </w:rPr>
      </w:r>
    </w:p>
    <w:sectPr>
      <w:footerReference w:type="default" r:id="rId8"/>
      <w:footerReference w:type="even" r:id="rId9"/>
      <w:footnotePr/>
      <w:endnotePr/>
      <w:type w:val="nextPage"/>
      <w:pgSz w:h="16838" w:orient="landscape" w:w="11906"/>
      <w:pgMar w:top="1247" w:right="1106" w:bottom="1089" w:left="1491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6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8"/>
      <w:framePr w:hAnchor="margin" w:vAnchor="text" w:wrap="around" w:xAlign="center" w:y="1"/>
      <w:pBdr/>
      <w:tabs>
        <w:tab w:val="center" w:leader="none" w:pos="4153"/>
        <w:tab w:val="right" w:leader="none" w:pos="8306"/>
      </w:tabs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8"/>
      <w:framePr w:hAnchor="margin" w:vAnchor="text" w:wrap="around" w:xAlign="center" w:y="1"/>
      <w:pBdr/>
      <w:tabs>
        <w:tab w:val="center" w:leader="none" w:pos="4153"/>
        <w:tab w:val="right" w:leader="none" w:pos="8306"/>
      </w:tabs>
      <w:spacing/>
      <w:ind/>
      <w:rPr>
        <w:rStyle w:val="646"/>
      </w:rPr>
    </w:pPr>
    <w:r>
      <w:fldChar w:fldCharType="begin"/>
    </w:r>
    <w:r>
      <w:rPr>
        <w:rStyle w:val="646"/>
      </w:rPr>
      <w:instrText xml:space="preserve">PAGE  </w:instrText>
    </w:r>
    <w:r>
      <w:fldChar w:fldCharType="end"/>
    </w:r>
    <w:r>
      <w:rPr>
        <w:rStyle w:val="646"/>
      </w:rPr>
    </w:r>
    <w:r>
      <w:rPr>
        <w:rStyle w:val="646"/>
      </w:rPr>
    </w:r>
  </w:p>
  <w:p>
    <w:pPr>
      <w:pStyle w:val="648"/>
      <w:pBdr/>
      <w:tabs>
        <w:tab w:val="center" w:leader="none" w:pos="4153"/>
        <w:tab w:val="right" w:leader="none" w:pos="8306"/>
      </w:tabs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3"/>
    <w:next w:val="643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43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43"/>
    <w:next w:val="643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43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43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43"/>
    <w:next w:val="64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43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43"/>
    <w:next w:val="643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43"/>
    <w:next w:val="643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43"/>
    <w:next w:val="643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43"/>
    <w:next w:val="643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43"/>
    <w:next w:val="643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43"/>
    <w:next w:val="643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43"/>
    <w:next w:val="643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43"/>
    <w:next w:val="643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43"/>
    <w:next w:val="643"/>
    <w:uiPriority w:val="99"/>
    <w:unhideWhenUsed/>
    <w:pPr>
      <w:pBdr/>
      <w:spacing w:after="0" w:afterAutospacing="0"/>
      <w:ind/>
    </w:pPr>
  </w:style>
  <w:style w:type="paragraph" w:styleId="643" w:default="1">
    <w:name w:val="Normal"/>
    <w:next w:val="643"/>
    <w:link w:val="643"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44">
    <w:name w:val="默认段落字体"/>
    <w:next w:val="644"/>
    <w:link w:val="643"/>
    <w:semiHidden/>
    <w:pPr>
      <w:pBdr/>
      <w:spacing/>
      <w:ind/>
    </w:pPr>
  </w:style>
  <w:style w:type="table" w:styleId="645">
    <w:name w:val="普通表格"/>
    <w:next w:val="645"/>
    <w:link w:val="643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46">
    <w:name w:val="页码"/>
    <w:basedOn w:val="644"/>
    <w:next w:val="646"/>
    <w:link w:val="643"/>
    <w:pPr>
      <w:pBdr/>
      <w:spacing/>
      <w:ind/>
    </w:pPr>
  </w:style>
  <w:style w:type="paragraph" w:styleId="647">
    <w:name w:val="普通(网站)"/>
    <w:basedOn w:val="643"/>
    <w:next w:val="647"/>
    <w:link w:val="643"/>
    <w:pPr>
      <w:widowControl w:val="true"/>
      <w:pBdr/>
      <w:spacing w:after="100" w:afterAutospacing="1" w:before="100" w:beforeAutospacing="1"/>
      <w:ind/>
      <w:jc w:val="left"/>
    </w:pPr>
    <w:rPr>
      <w:rFonts w:ascii="宋体" w:hAnsi="宋体"/>
      <w:sz w:val="24"/>
    </w:rPr>
  </w:style>
  <w:style w:type="paragraph" w:styleId="648">
    <w:name w:val="页脚"/>
    <w:basedOn w:val="643"/>
    <w:next w:val="648"/>
    <w:link w:val="643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1544" w:default="1">
    <w:name w:val="Default Paragraph Font"/>
    <w:uiPriority w:val="1"/>
    <w:semiHidden/>
    <w:unhideWhenUsed/>
    <w:pPr>
      <w:pBdr/>
      <w:spacing/>
      <w:ind/>
    </w:pPr>
  </w:style>
  <w:style w:type="numbering" w:styleId="1545" w:default="1">
    <w:name w:val="No List"/>
    <w:uiPriority w:val="99"/>
    <w:semiHidden/>
    <w:unhideWhenUsed/>
    <w:pPr>
      <w:pBdr/>
      <w:spacing/>
      <w:ind/>
    </w:pPr>
  </w:style>
  <w:style w:type="table" w:styleId="1546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Micro</Company>
  <DocSecurity>0</DocSecurity>
  <ScaleCrop>false</ScaleCrop>
  <Template>Norma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匿名</cp:lastModifiedBy>
  <cp:revision>3</cp:revision>
  <dcterms:created xsi:type="dcterms:W3CDTF">2008-02-28T03:50:00Z</dcterms:created>
  <dcterms:modified xsi:type="dcterms:W3CDTF">2025-05-13T03:16:44Z</dcterms:modified>
</cp:coreProperties>
</file>